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AC" w:rsidRPr="006E689B" w:rsidRDefault="008138A8" w:rsidP="00EB31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1210945" cy="1513840"/>
            <wp:effectExtent l="0" t="0" r="8255" b="0"/>
            <wp:docPr id="2" name="Picture 1" descr="Description: European Disability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uropean Disability For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AC" w:rsidRPr="006E689B" w:rsidRDefault="00BB47AC" w:rsidP="006E689B">
      <w:pPr>
        <w:spacing w:after="0" w:line="20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A77B3"/>
          <w:kern w:val="36"/>
          <w:sz w:val="24"/>
          <w:szCs w:val="24"/>
          <w:lang w:eastAsia="hr-HR"/>
        </w:rPr>
      </w:pPr>
      <w:bookmarkStart w:id="0" w:name="_Toc485151959"/>
      <w:r w:rsidRPr="006E689B">
        <w:rPr>
          <w:rFonts w:ascii="Times New Roman" w:eastAsia="Times New Roman" w:hAnsi="Times New Roman" w:cs="Times New Roman"/>
          <w:b/>
          <w:bCs/>
          <w:color w:val="0A77B3"/>
          <w:kern w:val="36"/>
          <w:sz w:val="24"/>
          <w:szCs w:val="24"/>
          <w:lang w:eastAsia="hr-HR"/>
        </w:rPr>
        <w:t>Izjava EDF-</w:t>
      </w:r>
      <w:r w:rsidR="001855AB" w:rsidRPr="006E689B">
        <w:rPr>
          <w:rFonts w:ascii="Times New Roman" w:eastAsia="Times New Roman" w:hAnsi="Times New Roman" w:cs="Times New Roman"/>
          <w:b/>
          <w:bCs/>
          <w:color w:val="0A77B3"/>
          <w:kern w:val="36"/>
          <w:sz w:val="24"/>
          <w:szCs w:val="24"/>
          <w:lang w:eastAsia="hr-HR"/>
        </w:rPr>
        <w:t xml:space="preserve"> </w:t>
      </w:r>
      <w:r w:rsidRPr="006E689B">
        <w:rPr>
          <w:rFonts w:ascii="Times New Roman" w:eastAsia="Times New Roman" w:hAnsi="Times New Roman" w:cs="Times New Roman"/>
          <w:b/>
          <w:bCs/>
          <w:color w:val="0A77B3"/>
          <w:kern w:val="36"/>
          <w:sz w:val="24"/>
          <w:szCs w:val="24"/>
          <w:lang w:eastAsia="hr-HR"/>
        </w:rPr>
        <w:t>a o Mapi puta Komisije za reviziju Direktive o energetskoj učinkovitosti zgrada (2010/13)</w:t>
      </w:r>
      <w:bookmarkEnd w:id="0"/>
    </w:p>
    <w:p w:rsidR="006E689B" w:rsidRPr="006E689B" w:rsidRDefault="006E689B" w:rsidP="006E689B">
      <w:pPr>
        <w:spacing w:after="0" w:line="20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A77B3"/>
          <w:kern w:val="36"/>
          <w:sz w:val="24"/>
          <w:szCs w:val="24"/>
          <w:lang w:eastAsia="hr-HR"/>
        </w:rPr>
      </w:pPr>
    </w:p>
    <w:p w:rsidR="006E689B" w:rsidRPr="006E689B" w:rsidRDefault="006E689B" w:rsidP="006E689B">
      <w:pPr>
        <w:spacing w:after="0" w:line="20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b/>
          <w:bCs/>
          <w:color w:val="0A77B3"/>
          <w:kern w:val="36"/>
          <w:sz w:val="24"/>
          <w:szCs w:val="24"/>
          <w:lang w:eastAsia="hr-HR"/>
        </w:rPr>
        <w:t>22. ožujka 2021.</w:t>
      </w:r>
    </w:p>
    <w:p w:rsidR="00BB47AC" w:rsidRPr="006E689B" w:rsidRDefault="00BB47AC" w:rsidP="00EB3165">
      <w:pPr>
        <w:spacing w:before="120" w:after="120" w:line="30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b/>
          <w:bCs/>
          <w:color w:val="E22B21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spacing w:before="120" w:after="120" w:line="30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b/>
          <w:bCs/>
          <w:color w:val="E22B21"/>
          <w:sz w:val="24"/>
          <w:szCs w:val="24"/>
          <w:lang w:eastAsia="hr-HR"/>
        </w:rPr>
        <w:t>Uvod</w:t>
      </w:r>
    </w:p>
    <w:p w:rsidR="00BB47AC" w:rsidRPr="006E689B" w:rsidRDefault="00BB47AC" w:rsidP="00EB31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Direktiva EU o energetskoj učinkovitosti zgrada (EPBD) na snazi ​​je od 2010. Nakon objavljivanja </w:t>
      </w:r>
      <w:r w:rsidR="001855AB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strategije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21AD6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EU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smanjenje</w:t>
      </w:r>
      <w:r w:rsidR="006E689B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emisija ugljika „Zeleni plan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“, predloženo je nekoliko inicijativa o tome kako </w:t>
      </w:r>
      <w:r w:rsidR="001855AB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postići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 smanjenj</w:t>
      </w:r>
      <w:r w:rsidR="00F21AD6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1855AB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to obnovom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zgrada i </w:t>
      </w:r>
      <w:r w:rsidR="001855AB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postiza</w:t>
      </w:r>
      <w:r w:rsidR="00F21AD6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njem veće energetske učinkovit</w:t>
      </w:r>
      <w:r w:rsidR="001855AB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osti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 Ova inicijativa naziva se „Val obnove“, a revizija EPBD</w:t>
      </w:r>
      <w:r w:rsidR="001855AB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1855AB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jedna je od konkretnih </w:t>
      </w:r>
      <w:r w:rsidR="001855AB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mjera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postizanje cilja EU.</w:t>
      </w:r>
    </w:p>
    <w:p w:rsidR="00BB47AC" w:rsidRPr="006E689B" w:rsidRDefault="00BB47AC" w:rsidP="00354EB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Organizacije osoba s invaliditetom od samog su početka zahtijevale da bilo koja akcija u okviru "Zelenog </w:t>
      </w:r>
      <w:r w:rsidR="006E689B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plana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" mora uključivati ​​osobe s invaliditetom i da je </w:t>
      </w:r>
      <w:r w:rsidR="00F21AD6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pristupačnost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ključni aspekt održivosti. To se posebno odnosi na izgradnju i obnovu zgrada i infrastrukture. Stoga je </w:t>
      </w:r>
      <w:r w:rsidR="001855AB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reviziju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EPBD</w:t>
      </w:r>
      <w:r w:rsidR="001855AB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1855AB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C0CDE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važno da se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855AB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prilikom planiranja i financiranja obnova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automatski uključi</w:t>
      </w:r>
      <w:r w:rsidR="00BC0CDE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pristupačnost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 To će osigurati da su zgrade "</w:t>
      </w:r>
      <w:r w:rsidR="00410C21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otporne u budućn</w:t>
      </w:r>
      <w:r w:rsidR="00BC0CDE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osti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" </w:t>
      </w:r>
      <w:r w:rsidR="00354EB3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sa starenjem stanovništva, bit će i više osoba s invaliditetom kojima je potrebno osigurati pristupačnost.</w:t>
      </w:r>
    </w:p>
    <w:p w:rsidR="005C621D" w:rsidRPr="006E689B" w:rsidRDefault="005C621D" w:rsidP="00354EB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Uključivanje pristupačnosti u sadašnju obnovu je skuplje, ali to je zapravo ulaganje. Uključivanje pristupačnosti u fazi planiranja i izrade koncepta smanjuje troškove i dovodi do boljeg ishoda.</w:t>
      </w:r>
      <w:r w:rsidR="00855DD1" w:rsidRPr="006E689B">
        <w:rPr>
          <w:rStyle w:val="Referencafusnote"/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footnoteReference w:id="2"/>
      </w:r>
    </w:p>
    <w:p w:rsidR="00BB47AC" w:rsidRPr="006E689B" w:rsidRDefault="00855DD1" w:rsidP="00EB31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Odgovara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 na konzultacije Komisije o Mapi puta kako bismo osigurali d</w:t>
      </w:r>
      <w:r w:rsidR="00BC0CDE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vizija bude </w:t>
      </w:r>
      <w:proofErr w:type="spellStart"/>
      <w:r w:rsidR="00BC0CDE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inkluzivna</w:t>
      </w:r>
      <w:proofErr w:type="spellEnd"/>
      <w:r w:rsidR="00BC0CDE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da pristupačnost bude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dio strategije obnove, a posebno ove Direktive, jer </w:t>
      </w:r>
      <w:r w:rsidR="00BB47AC"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održivost nije samo energetska učinkovitost!</w:t>
      </w:r>
    </w:p>
    <w:p w:rsidR="00BB47AC" w:rsidRPr="006E689B" w:rsidRDefault="00BB47AC" w:rsidP="00EB31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spacing w:before="120" w:after="120" w:line="30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b/>
          <w:bCs/>
          <w:color w:val="E22B21"/>
          <w:sz w:val="24"/>
          <w:szCs w:val="24"/>
          <w:lang w:eastAsia="hr-HR"/>
        </w:rPr>
        <w:t>Zašto je EPBD relevantan za osobe s invaliditetom</w:t>
      </w:r>
    </w:p>
    <w:p w:rsidR="00BB47AC" w:rsidRPr="006E689B" w:rsidRDefault="00BB47AC" w:rsidP="00EB31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obzirom na to da gotovo 100 milijuna osoba s invaliditetom živi u EU plus još veći broj starijih osoba, koji će se povećavati u narednim godinama, pristupačnost mora biti prioritet. Učiniti zgrade </w:t>
      </w:r>
      <w:r w:rsidR="00BC0CDE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pristupačnima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početka ili kao dio većeg projekta obnove jeftinije je i trebalo bi biti rutinski postupak. Pristupačne zgrade nemaju negativan utjecaj na osobe bez invaliditeta pa zašto onda </w:t>
      </w:r>
      <w:r w:rsidR="00BC0CDE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 učiniti sve zgrade pristupačnima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?</w:t>
      </w:r>
    </w:p>
    <w:p w:rsidR="00BB47AC" w:rsidRPr="006E689B" w:rsidRDefault="00BB47AC" w:rsidP="00EB31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Odvojena rješenja za '</w:t>
      </w:r>
      <w:r w:rsidR="00BC0CDE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rješavanje' pristupačnosti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 skuplja i neodrživa. Uključivanje pristupačnosti u fazi planiranja i </w:t>
      </w:r>
      <w:r w:rsidR="00855DD1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izrade koncepta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smanjuje troškove i dovodi do boljeg ishoda. Iako je obnova još uvijek relativno skuplja od </w:t>
      </w:r>
      <w:r w:rsidR="00F21AD6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pristupačnosti u novim zgradama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dalje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će postojati ekonomija razmjera i </w:t>
      </w:r>
      <w:proofErr w:type="spellStart"/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oportunitetni</w:t>
      </w:r>
      <w:proofErr w:type="spellEnd"/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trošak izvođenja "cjelovite" obnove umjesto nekoliko manjih.</w:t>
      </w:r>
    </w:p>
    <w:p w:rsidR="00BB47AC" w:rsidRPr="006E689B" w:rsidRDefault="00C02C8D" w:rsidP="00EB31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Pravila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strukturnim fondovima već </w:t>
      </w:r>
      <w:r w:rsidR="00FF1B2D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sadrže obvezu 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osiguravanjem pristupačnosti - EU mora uključiti iste odredbe u EPBD. Što je najvažnije, ne bi se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trebalo trošiti financijska sredstva EU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izgradnju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novih nepristupačnih zgrada i infrastrukture.</w:t>
      </w:r>
    </w:p>
    <w:p w:rsidR="00BB47AC" w:rsidRPr="006E689B" w:rsidRDefault="00BB47AC" w:rsidP="00EB31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Postoje različite dimenzije EPBD</w:t>
      </w:r>
      <w:r w:rsidR="00F21AD6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F21AD6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kojima se treba pozabaviti:</w:t>
      </w:r>
    </w:p>
    <w:p w:rsidR="00BB47AC" w:rsidRPr="006E689B" w:rsidRDefault="00BB47AC" w:rsidP="00EB31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AF34C8" w:rsidP="00EB3165">
      <w:pPr>
        <w:numPr>
          <w:ilvl w:val="0"/>
          <w:numId w:val="1"/>
        </w:numPr>
        <w:spacing w:before="120" w:after="0" w:line="240" w:lineRule="auto"/>
        <w:ind w:left="62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svega, osobe s invaliditetom su</w:t>
      </w:r>
      <w:r w:rsidR="00C02C8D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među ostalima </w:t>
      </w:r>
      <w:r w:rsidR="002C0287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korisnicima zgrada</w:t>
      </w:r>
      <w:r w:rsidR="00C02C8D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potrošači, stanari i </w:t>
      </w:r>
      <w:r w:rsidR="00C02C8D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vlasnici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 Oni </w:t>
      </w:r>
      <w:r w:rsidR="00F21AD6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često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C0287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provode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</w:t>
      </w:r>
      <w:r w:rsidR="002C0287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srazmjerno</w:t>
      </w:r>
      <w:proofErr w:type="spellEnd"/>
      <w:r w:rsidR="002C0287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više vr</w:t>
      </w:r>
      <w:r w:rsidR="002C0287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emena u svojim domovima, što rezultira 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većom </w:t>
      </w:r>
      <w:r w:rsidR="002C0287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potrošnjom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energije. Dodatni troškovi korištenja medicinske opreme</w:t>
      </w:r>
      <w:r w:rsidR="002C0287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električni pogon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C0287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pomagala za kretanje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mobilnost ili </w:t>
      </w:r>
      <w:proofErr w:type="spellStart"/>
      <w:r w:rsidR="002C0287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asistiv</w:t>
      </w:r>
      <w:r w:rsidR="001B2A33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</w:t>
      </w:r>
      <w:proofErr w:type="spellEnd"/>
      <w:r w:rsidR="001B2A33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tehnologije 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može </w:t>
      </w:r>
      <w:r w:rsidR="002C0287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također povećati troškove energije</w:t>
      </w:r>
      <w:r w:rsidR="001B2A33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 Nisu 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sve osobe s invaliditetom automatski </w:t>
      </w:r>
      <w:r w:rsidR="002C0287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„ranjive“, ali mogu biti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DA4200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posebno financijski. To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ih dovodi u veći </w:t>
      </w:r>
      <w:r w:rsidR="002C0287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rizik od energetskog siromaštva. Stanovanje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</w:t>
      </w:r>
      <w:r w:rsidR="002C0287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slabo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izoliranim i nisko učinkovitim stambenim objektima pogoršava ovaj rizik.</w:t>
      </w:r>
    </w:p>
    <w:p w:rsidR="00BB47AC" w:rsidRPr="006E689B" w:rsidRDefault="00BB47AC" w:rsidP="00EB3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numPr>
          <w:ilvl w:val="0"/>
          <w:numId w:val="2"/>
        </w:numPr>
        <w:spacing w:after="0" w:line="240" w:lineRule="auto"/>
        <w:ind w:left="62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Ali u drugom slučaju, energetska učinkovitost nije jedina stvar koju treba uzeti u obzir kako bi se povećala održivost </w:t>
      </w:r>
      <w:r w:rsidR="001B2A33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stambenog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fonda. </w:t>
      </w:r>
      <w:r w:rsidR="00410C21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Pristupačno stanovanje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jednako, ako ne i va</w:t>
      </w:r>
      <w:r w:rsidR="00410C21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žnije kako bi se osiguralo da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zgrade </w:t>
      </w:r>
      <w:r w:rsidR="00410C21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koje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ćemo </w:t>
      </w:r>
      <w:r w:rsidR="00410C21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sada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obnoviti </w:t>
      </w:r>
      <w:r w:rsidR="00410C21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biti „otporne u budućnosti” i da će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biti </w:t>
      </w:r>
      <w:r w:rsidR="001B2A33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pogodne </w:t>
      </w:r>
      <w:r w:rsidR="00410C21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korištenje kroz razdoblje od </w:t>
      </w:r>
      <w:r w:rsidR="001B2A33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narednih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10, 20 ili 30 godina. Sa starenjem stanovništva, broj osoba kojima će trebati prist</w:t>
      </w:r>
      <w:r w:rsidR="00410C21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upačan smještaj i zgrade samo će se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povećava</w:t>
      </w:r>
      <w:r w:rsidR="00410C21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 Stoga je sada kada i zgrade činimo energetski učinkovitijima</w:t>
      </w:r>
      <w:r w:rsidR="00410C21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ključno i razmatranje pristupačnosti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B47AC" w:rsidRPr="006E689B" w:rsidRDefault="00BB47AC" w:rsidP="00EB3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numPr>
          <w:ilvl w:val="0"/>
          <w:numId w:val="3"/>
        </w:numPr>
        <w:spacing w:after="0" w:line="240" w:lineRule="auto"/>
        <w:ind w:left="62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Treće, dizajn zgrada i upotreba građevinskog materijala za povećanje energetske učinkovitosti također moraju zgradu učinit</w:t>
      </w:r>
      <w:r w:rsidR="001B2A33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pristupačnijom i sigurnijom</w:t>
      </w:r>
      <w:r w:rsidR="00410C21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</w:t>
      </w:r>
      <w:r w:rsidR="00410C21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smiju onemogućavati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pristup</w:t>
      </w:r>
      <w:r w:rsidR="00410C21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ačnost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 </w:t>
      </w:r>
      <w:r w:rsidR="00410C21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Primjena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različitih vrsta podnih materijala može, na primjer, otežati </w:t>
      </w:r>
      <w:r w:rsidR="00410C21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kretanje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uređajima za kretanje na kotačima, kao što su invalidska kolica. No, izbor podova utječe i na akustiku koja je pres</w:t>
      </w:r>
      <w:r w:rsidR="005349DB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udna za gluhe ili nagluhe osobe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="005349DB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ili za slijepe osobe kojima su potrebni taktilni pokazatelji površine za hodanje radi orijentacije.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Stoga čitav građevinski sektor mora biti na odgovarajući način osposobljen kako bi bio svjestan posljedica tih izbora.</w:t>
      </w:r>
    </w:p>
    <w:p w:rsidR="00BB47AC" w:rsidRPr="006E689B" w:rsidRDefault="00BB47AC" w:rsidP="00EB3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numPr>
          <w:ilvl w:val="0"/>
          <w:numId w:val="4"/>
        </w:numPr>
        <w:spacing w:after="0" w:line="240" w:lineRule="auto"/>
        <w:ind w:left="62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Četvrto, iako su zgrade također osjetljive na utjecaj</w:t>
      </w:r>
      <w:r w:rsidR="00EE26DE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klimatskih promjena, to izravno utječe </w:t>
      </w:r>
      <w:r w:rsidR="00EE26DE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osobe s invaliditetom. Ako se primjerice poveća rizik od poplave, potresa ili druge prirodne katastrofe, sigurna evakuacija je presudna. I to treba uzeti u obzir.</w:t>
      </w:r>
    </w:p>
    <w:p w:rsidR="00BB47AC" w:rsidRPr="006E689B" w:rsidRDefault="00BB47AC" w:rsidP="00EB3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numPr>
          <w:ilvl w:val="0"/>
          <w:numId w:val="5"/>
        </w:numPr>
        <w:spacing w:after="0" w:line="240" w:lineRule="auto"/>
        <w:ind w:left="62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Trenutno nedostaje poticaja za održivu obnovu, a pristupačnost se i dalje smatra "luksuzom" koji je skup. Trebalo bi dati poticaje kako na financijskom, tako</w:t>
      </w:r>
      <w:r w:rsidR="00EE26DE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na regulatornom planu (</w:t>
      </w:r>
      <w:proofErr w:type="spellStart"/>
      <w:r w:rsidR="00EE26DE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npr</w:t>
      </w:r>
      <w:proofErr w:type="spellEnd"/>
      <w:r w:rsidR="00EE26DE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l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akši postupak prijave za obnovu zgrada koji se odnosi na pristupačnost i održivost) na EU, nacionalnoj, kao i na regionalnoj i lokalnoj razini.</w:t>
      </w:r>
    </w:p>
    <w:p w:rsidR="00BB47AC" w:rsidRPr="006E689B" w:rsidRDefault="00BB47AC" w:rsidP="00EB3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numPr>
          <w:ilvl w:val="0"/>
          <w:numId w:val="6"/>
        </w:numPr>
        <w:spacing w:after="120" w:line="240" w:lineRule="auto"/>
        <w:ind w:left="62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nedostatak poticaja, već postoji i nepridržavanje postojećih pravila, čak i kad postoje pravila o pristupačnosti izgrađenog okoliša (evo vrlo nedavnog primjera: </w:t>
      </w:r>
      <w:hyperlink r:id="rId9" w:history="1">
        <w:r w:rsidRPr="006E68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 xml:space="preserve">https://www.brusselstimes.com/all-news/ </w:t>
        </w:r>
        <w:proofErr w:type="spellStart"/>
        <w:r w:rsidRPr="006E68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belgium</w:t>
        </w:r>
        <w:proofErr w:type="spellEnd"/>
        <w:r w:rsidRPr="006E68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-all-news / 118299/147-zgrade-testirane-zbog-pristupačnosti-u-Flandriji-sve-neuspjele /</w:t>
        </w:r>
      </w:hyperlink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)</w:t>
      </w:r>
    </w:p>
    <w:p w:rsidR="005349DB" w:rsidRPr="006E689B" w:rsidRDefault="003A320D" w:rsidP="00EB3165">
      <w:pPr>
        <w:numPr>
          <w:ilvl w:val="0"/>
          <w:numId w:val="6"/>
        </w:numPr>
        <w:spacing w:after="120" w:line="240" w:lineRule="auto"/>
        <w:ind w:left="62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 I posljednje, ali ne manje važno: omogućavanje da zgrade budu pristupačne je obveza </w:t>
      </w:r>
      <w:r w:rsidR="005349DB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prema UN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349DB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Konvenciji o pravima osoba s invaliditetom (CRPD) koju su rati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ficirale sve države članice EU</w:t>
      </w:r>
      <w:r w:rsidR="005349DB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kao i sama EU.</w:t>
      </w:r>
    </w:p>
    <w:p w:rsidR="00BB47AC" w:rsidRPr="006E689B" w:rsidRDefault="00BB47AC" w:rsidP="00EB31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spacing w:before="120" w:after="120" w:line="30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b/>
          <w:bCs/>
          <w:color w:val="E22B21"/>
          <w:sz w:val="24"/>
          <w:szCs w:val="24"/>
          <w:lang w:eastAsia="hr-HR"/>
        </w:rPr>
        <w:t>Preporuke</w:t>
      </w:r>
    </w:p>
    <w:p w:rsidR="00BB47AC" w:rsidRPr="006E689B" w:rsidRDefault="003A320D" w:rsidP="00EB3165">
      <w:pPr>
        <w:numPr>
          <w:ilvl w:val="0"/>
          <w:numId w:val="7"/>
        </w:numPr>
        <w:spacing w:before="120" w:after="0" w:line="240" w:lineRule="auto"/>
        <w:ind w:left="5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Uključivanje pristupačnosti u obnove sada znači  kasniju uštedu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0B7144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Prilikom ulaganja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obnovu </w:t>
      </w:r>
      <w:r w:rsidR="000B7144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potrebno je 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posebno </w:t>
      </w:r>
      <w:r w:rsidR="000B7144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voditi računa o </w:t>
      </w:r>
      <w:r w:rsidR="000B7144" w:rsidRPr="006E68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dugoročnoj</w:t>
      </w:r>
      <w:r w:rsidR="00BB47AC" w:rsidRPr="006E68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upotrebljivosti i održivost</w:t>
      </w:r>
      <w:r w:rsidR="000B7144" w:rsidRPr="006E68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 </w:t>
      </w:r>
      <w:r w:rsidR="000B7144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Nije dovoljno paziti samo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jedan aspekt održivosti, ako se </w:t>
      </w:r>
      <w:r w:rsidR="000B7144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sada novac 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ulaže u stvaranje energetski učinkovitijih zgrada, </w:t>
      </w:r>
      <w:r w:rsidR="000B7144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trebalo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 ih učin</w:t>
      </w:r>
      <w:r w:rsidR="000B7144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iti i pristupačnijima. Inače su resursi izgubljeni, ako s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za nekoliko godina mora izvesti drugi „val obnove“ kako bi se poboljšali drugi aspekti zgrade, poput pristupačnosti. </w:t>
      </w:r>
      <w:r w:rsidR="000B7144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se oboje radi istovremeno, to je učinkovitije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B7144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korištenje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resursa i vremena.</w:t>
      </w:r>
    </w:p>
    <w:p w:rsidR="00BB47AC" w:rsidRPr="006E689B" w:rsidRDefault="00BB47AC" w:rsidP="00EB3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numPr>
          <w:ilvl w:val="0"/>
          <w:numId w:val="8"/>
        </w:numPr>
        <w:spacing w:after="0" w:line="240" w:lineRule="auto"/>
        <w:ind w:left="5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 </w:t>
      </w:r>
      <w:r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Putovnica za obnovu zgrada“ 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trebala bi sadržavati obvezni odjeljak o pristupačnosti i zgradama „</w:t>
      </w:r>
      <w:r w:rsidR="000B7144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otpornima u budućnosti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 u svjetlu demografskih promjena</w:t>
      </w:r>
      <w:r w:rsidR="000B7144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B47AC" w:rsidRPr="006E689B" w:rsidRDefault="00BB47AC" w:rsidP="00EB3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0B7144" w:rsidP="00EB3165">
      <w:pPr>
        <w:numPr>
          <w:ilvl w:val="0"/>
          <w:numId w:val="9"/>
        </w:numPr>
        <w:spacing w:after="0" w:line="240" w:lineRule="auto"/>
        <w:ind w:left="5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Prilikom </w:t>
      </w:r>
      <w:r w:rsidR="00BB47AC"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odabir</w:t>
      </w:r>
      <w:r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a i uporabe</w:t>
      </w:r>
      <w:r w:rsidR="00BB47AC"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građevinskog materijala 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također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 mora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voditi računa o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pristupačnost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osobe s invaliditetom. Na primjer, podne obloge p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oput tepiha ili sagova </w:t>
      </w:r>
      <w:proofErr w:type="spellStart"/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itd</w:t>
      </w:r>
      <w:proofErr w:type="spellEnd"/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m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oraju uzeti u obzir osobe koje koriste </w:t>
      </w:r>
      <w:r w:rsidR="006B0D24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ho</w:t>
      </w:r>
      <w:r w:rsidR="00D66FCD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dalice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66FCD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pomagala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kretanje na kotačima, ali također je </w:t>
      </w:r>
      <w:r w:rsidR="00D66FCD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važan i 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utjecaj na akustiku za gluhe ili nagluhe osobe.  EN17210 može </w:t>
      </w:r>
      <w:proofErr w:type="spellStart"/>
      <w:r w:rsidR="00BF20E7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npr</w:t>
      </w:r>
      <w:proofErr w:type="spellEnd"/>
      <w:r w:rsidR="00BF20E7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pružiti smjernice o materijalima za osiguravanje pristupačnosti interijera zgrade.</w:t>
      </w:r>
    </w:p>
    <w:p w:rsidR="00BB47AC" w:rsidRPr="006E689B" w:rsidRDefault="00BB47AC" w:rsidP="00EB3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numPr>
          <w:ilvl w:val="0"/>
          <w:numId w:val="10"/>
        </w:numPr>
        <w:spacing w:after="0" w:line="240" w:lineRule="auto"/>
        <w:ind w:left="5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Standard 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 </w:t>
      </w:r>
      <w:r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Dubinske obnove“ 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mora biti usklađen sa postojećim europskim i međunarodnim standardima o pristupačnosti izgrađenog okoliša kao što je EN 17210 i idealno bi bilo imati poseban odjeljak o zahtjevima za pristupačnost obnovljenim zgradama.</w:t>
      </w:r>
    </w:p>
    <w:p w:rsidR="00BB47AC" w:rsidRPr="006E689B" w:rsidRDefault="00BB47AC" w:rsidP="00EB3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numPr>
          <w:ilvl w:val="0"/>
          <w:numId w:val="11"/>
        </w:numPr>
        <w:spacing w:after="0" w:line="240" w:lineRule="auto"/>
        <w:ind w:left="5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Jasni zakonski zahtjevi 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potaknut će obnovu</w:t>
      </w:r>
      <w:r w:rsidR="00ED262D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zgrada na učinkovitiji način. Postoji hitna potrebna usklađenih EU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pravila o pristupačnosti zgrada kako bi se osigurao </w:t>
      </w:r>
      <w:r w:rsidR="00ED262D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ujednačeni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pristup pristupačnosti i konkretne akcije širom Unije, </w:t>
      </w:r>
      <w:r w:rsidR="00ED262D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kako bi se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sve nove i postojeće javne zgrade, uključujući javne stanove,</w:t>
      </w:r>
      <w:r w:rsidR="00ED262D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učinile pristupačnima.</w:t>
      </w:r>
    </w:p>
    <w:p w:rsidR="00BB47AC" w:rsidRPr="006E689B" w:rsidRDefault="00BB47AC" w:rsidP="00EB3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numPr>
          <w:ilvl w:val="0"/>
          <w:numId w:val="12"/>
        </w:numPr>
        <w:spacing w:after="0" w:line="240" w:lineRule="auto"/>
        <w:ind w:left="5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Također bi trebali postojati </w:t>
      </w:r>
      <w:r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poticaji i kvote 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privatne zgr</w:t>
      </w:r>
      <w:r w:rsidR="00ED262D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ade. Snažni pravni zahtjevi EU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moraju biti podržani snažnim mehanizmima financiranja i provedbe. </w:t>
      </w:r>
    </w:p>
    <w:p w:rsidR="00BB47AC" w:rsidRPr="006E689B" w:rsidRDefault="00BB47AC" w:rsidP="00EB3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numPr>
          <w:ilvl w:val="0"/>
          <w:numId w:val="13"/>
        </w:numPr>
        <w:spacing w:after="0" w:line="240" w:lineRule="auto"/>
        <w:ind w:left="5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Sva </w:t>
      </w:r>
      <w:r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financiranja</w:t>
      </w:r>
      <w:r w:rsidR="00ED262D"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javnim sredstvima</w:t>
      </w:r>
      <w:r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država članica i EU moraju kao kriterije </w:t>
      </w:r>
      <w:r w:rsidR="00ED262D"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uvrstiti pristupačnost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 Ako se stambena zgrada ili bolnica obnavljaju radi poboljšanja </w:t>
      </w:r>
      <w:r w:rsidR="00ED262D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njihove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energetske učinkovitosti, </w:t>
      </w:r>
      <w:r w:rsidR="00DC636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potrebno je također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osigurati i </w:t>
      </w:r>
      <w:r w:rsidR="001B2A33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pristupačnost zgrade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 Inače, zgrada će u bliskoj budućnosti postati neupotrebljiva za milijune ljudi, s obzirom na sve veći broj osoba s invaliditetom i starijih osoba u Europi. Uz to, korisno bi bilo i ciljano financiranje poboljšanja pristupačnosti.</w:t>
      </w:r>
      <w:r w:rsidR="0078522F" w:rsidRPr="006E689B">
        <w:rPr>
          <w:rFonts w:ascii="Times New Roman" w:hAnsi="Times New Roman" w:cs="Times New Roman"/>
          <w:sz w:val="24"/>
          <w:szCs w:val="24"/>
        </w:rPr>
        <w:t xml:space="preserve"> </w:t>
      </w:r>
      <w:r w:rsidR="0078522F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svakom slučaju, poboljšanja pristupačnosti trebala bi biti uključena u prihvatljive troškove EU financiranja poboljšanja energetske učinkovitosti zgrada.</w:t>
      </w:r>
    </w:p>
    <w:p w:rsidR="00BB47AC" w:rsidRPr="006E689B" w:rsidRDefault="00BB47AC" w:rsidP="00EB3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numPr>
          <w:ilvl w:val="0"/>
          <w:numId w:val="14"/>
        </w:numPr>
        <w:spacing w:after="0" w:line="240" w:lineRule="auto"/>
        <w:ind w:left="5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Dovoljno visoke </w:t>
      </w:r>
      <w:r w:rsidR="00DC636C"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kvote za pristupačne privatne i javne stambene</w:t>
      </w:r>
      <w:r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DC636C"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objekte</w:t>
      </w:r>
      <w:r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trebale bi biti obvezne u svim državama članicama EU.  </w:t>
      </w:r>
      <w:r w:rsidR="00DC636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</w:t>
      </w:r>
      <w:r w:rsidR="00DC636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gradnja ili stambena obnova trebaju se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početka</w:t>
      </w:r>
      <w:r w:rsidR="00DC636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temeljiti na pristupačnosti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 Pristupačnost je prednost koja će </w:t>
      </w:r>
      <w:r w:rsidR="00CD60B2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stanovanje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učiniti “</w:t>
      </w:r>
      <w:r w:rsidR="00DC636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otpornim u budućnosti”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D60B2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društvu</w:t>
      </w:r>
      <w:r w:rsidR="00DC636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koje stari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povećat će potražnju</w:t>
      </w:r>
      <w:r w:rsidR="00CD60B2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nju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 Stanovnici će moći dulje ostati u svojim domovima i živjeti samostalnije. Pristupačnost je </w:t>
      </w:r>
      <w:r w:rsidR="00CD60B2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ključna za osobe s invaliditetom te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korisna za </w:t>
      </w:r>
      <w:r w:rsidR="00CD60B2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širu zajednicu (</w:t>
      </w:r>
      <w:proofErr w:type="spellStart"/>
      <w:r w:rsidR="00CD60B2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npr</w:t>
      </w:r>
      <w:proofErr w:type="spellEnd"/>
      <w:r w:rsidR="00CD60B2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ristup </w:t>
      </w:r>
      <w:r w:rsidR="00CD60B2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bez stepenica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</w:t>
      </w:r>
      <w:r w:rsidR="00CD60B2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dizalo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zgrad</w:t>
      </w:r>
      <w:r w:rsidR="00CD60B2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D60B2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ključno je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="00CD60B2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osobe koje se kreću uz pomoć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invalidskih kolica, ali također </w:t>
      </w:r>
      <w:r w:rsidR="00CD60B2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korisno za roditelje s kolicima).</w:t>
      </w:r>
    </w:p>
    <w:p w:rsidR="00BB47AC" w:rsidRPr="006E689B" w:rsidRDefault="00BB47AC" w:rsidP="00EB3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numPr>
          <w:ilvl w:val="0"/>
          <w:numId w:val="15"/>
        </w:numPr>
        <w:spacing w:after="0" w:line="240" w:lineRule="auto"/>
        <w:ind w:left="5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Izgradnja vještina i kapaciteta javnih vlasti i stručnjaka 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</w:t>
      </w:r>
      <w:r w:rsidR="001B2A33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ebala bi uključivati ​​stručno znanje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pristupačnosti. Samo uz sveobuhvatno znanje projekt može biti uspješan </w:t>
      </w:r>
      <w:r w:rsidR="008A7089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kako se ne bi riskirao gubitak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resursa </w:t>
      </w:r>
      <w:r w:rsidR="008A7089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zbog zanemarivanja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pristupa</w:t>
      </w:r>
      <w:r w:rsidR="008A7089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čnosti tijekom obnove. </w:t>
      </w:r>
      <w:r w:rsidR="001B2A33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Osiguravanje p</w:t>
      </w:r>
      <w:r w:rsidR="008A7089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ristupačnost</w:t>
      </w:r>
      <w:r w:rsidR="001B2A33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moraju</w:t>
      </w:r>
      <w:r w:rsidR="008A7089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odraditi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stručnjaci za tu temu. Vlasti također moraju imati barem osnovno razumijevanje pristupačnosti, njezine važnosti i načina </w:t>
      </w:r>
      <w:r w:rsidR="008A7089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poboljšanje pristupačnosti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tijekom obnove. </w:t>
      </w:r>
    </w:p>
    <w:p w:rsidR="00BB47AC" w:rsidRPr="006E689B" w:rsidRDefault="00BB47AC" w:rsidP="00EB3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numPr>
          <w:ilvl w:val="0"/>
          <w:numId w:val="16"/>
        </w:numPr>
        <w:spacing w:after="0" w:line="240" w:lineRule="auto"/>
        <w:ind w:left="5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Politički prioriteti i financiranje trebali bi se nastaviti fokusirati na poboljšanje pristupačnosti zgrada tijekom </w:t>
      </w:r>
      <w:r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oporavka nakon </w:t>
      </w:r>
      <w:proofErr w:type="spellStart"/>
      <w:r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Covid</w:t>
      </w:r>
      <w:proofErr w:type="spellEnd"/>
      <w:r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-19 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 Pristupačna infrastruktura može dodatno podržati mjere javnog zdravstva: na primjer, automatska vrata osigurat će veći pristup mnogim osobama s invaliditetom, ali također pomoći u smanjenju prijenosa virusa </w:t>
      </w:r>
      <w:r w:rsidR="0065220A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putem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kvaka </w:t>
      </w:r>
      <w:r w:rsidR="0065220A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vratima,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slučaju nadolazećih </w:t>
      </w:r>
      <w:proofErr w:type="spellStart"/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pandemijskih</w:t>
      </w:r>
      <w:proofErr w:type="spellEnd"/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valova</w:t>
      </w:r>
      <w:r w:rsidR="0065220A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B47AC" w:rsidRPr="006E689B" w:rsidRDefault="00BB47AC" w:rsidP="00EB31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numPr>
          <w:ilvl w:val="0"/>
          <w:numId w:val="17"/>
        </w:numPr>
        <w:spacing w:after="120" w:line="240" w:lineRule="auto"/>
        <w:ind w:left="5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Javna nabava 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ključna je za postizanje cilja održivijih zgrada. Prema pravilima </w:t>
      </w:r>
      <w:r w:rsidR="0065220A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EU o nabavi, pristupačnost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već </w:t>
      </w:r>
      <w:r w:rsidR="0065220A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jedan od kriterija koji se moraju ispuniti. Međutim, nedostatak praktičnih smjernica i nadzora doveo je do situacije koja nije transparentna i nije jasno u kojoj se mjeri pravila o javnoj nabavi pravilno primjenjuju u pogledu pristupačnosti. Stoga je aktivna podrška vlasti u provedbi pravila vrlo važna, zajedno s ostalim gore istaknutim čimbenicima.</w:t>
      </w:r>
    </w:p>
    <w:p w:rsidR="00BB47AC" w:rsidRPr="006E689B" w:rsidRDefault="00BB47AC" w:rsidP="00EB3165">
      <w:pPr>
        <w:spacing w:before="120" w:after="120" w:line="30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b/>
          <w:bCs/>
          <w:color w:val="E22B21"/>
          <w:sz w:val="24"/>
          <w:szCs w:val="24"/>
          <w:lang w:eastAsia="hr-HR"/>
        </w:rPr>
        <w:t>Zaključak</w:t>
      </w:r>
    </w:p>
    <w:p w:rsidR="00BB47AC" w:rsidRPr="006E689B" w:rsidRDefault="00BB47AC" w:rsidP="00EB31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Pristupačnost za 100 milijuna osoba s invaliditetom nije mali aspekt održivosti. To je ključni aspekt povećanja održivosti zgrada! Gubljenje resursa ulaganjem prvenstveno u ener</w:t>
      </w:r>
      <w:r w:rsidR="0065220A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getsku učinkovitost, a zatim vršenje pritiska za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naknadnu prilagodbu i pokretanje novog vala obnove za nekoliko godina kako bi se iste zgrade učinile pristupačnim, nema smisla. Stoga se pristupačnost već </w:t>
      </w:r>
      <w:r w:rsidR="0065220A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sada </w:t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mora smatrati sastavnim dijelom revidiranog EPBD-a kako bi se osiguralo da zgrade budu </w:t>
      </w:r>
      <w:r w:rsidR="00710DD7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„otporne u budućnosti“ jednom i za sve.</w:t>
      </w:r>
    </w:p>
    <w:p w:rsidR="00BB47AC" w:rsidRPr="006E689B" w:rsidRDefault="00BB47AC" w:rsidP="00EB31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B47AC" w:rsidRPr="006E689B" w:rsidRDefault="00BB47AC" w:rsidP="00EB3165">
      <w:pPr>
        <w:spacing w:before="120" w:after="120" w:line="30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b/>
          <w:bCs/>
          <w:color w:val="E22B21"/>
          <w:sz w:val="24"/>
          <w:szCs w:val="24"/>
          <w:lang w:eastAsia="hr-HR"/>
        </w:rPr>
        <w:t>Povezane EDF publikacije</w:t>
      </w:r>
    </w:p>
    <w:p w:rsidR="00BB47AC" w:rsidRPr="006E689B" w:rsidRDefault="00BB47AC" w:rsidP="00EB3165">
      <w:pPr>
        <w:numPr>
          <w:ilvl w:val="0"/>
          <w:numId w:val="18"/>
        </w:numPr>
        <w:spacing w:before="120" w:after="120" w:line="240" w:lineRule="auto"/>
        <w:ind w:left="5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Radni dokument EDF-a: „ </w:t>
      </w:r>
      <w:proofErr w:type="spellStart"/>
      <w:r w:rsidR="005A35F4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fldChar w:fldCharType="begin"/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instrText xml:space="preserve"> HYPERLINK "https://translate.google.com/translate?hl=hr&amp;prev=_t&amp;sl=en&amp;tl=hr&amp;u=https://www.edf-feph.org/publications/eu-green-deal-2/" </w:instrText>
      </w:r>
      <w:r w:rsidR="005A35F4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fldChar w:fldCharType="separate"/>
      </w:r>
      <w:r w:rsidRPr="006E689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>Inkluzivni</w:t>
      </w:r>
      <w:proofErr w:type="spellEnd"/>
      <w:r w:rsidRPr="006E689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 xml:space="preserve"> ze</w:t>
      </w:r>
      <w:r w:rsidR="008A03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>leni plan</w:t>
      </w:r>
      <w:r w:rsidRPr="006E689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 xml:space="preserve"> za Europu</w:t>
      </w:r>
      <w:r w:rsidR="005A35F4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fldChar w:fldCharType="end"/>
      </w:r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“</w:t>
      </w:r>
    </w:p>
    <w:p w:rsidR="00BB47AC" w:rsidRPr="006E689B" w:rsidRDefault="00BB47AC" w:rsidP="00EB3165">
      <w:pPr>
        <w:spacing w:before="120" w:after="120" w:line="30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bookmarkStart w:id="1" w:name="_Toc485151963"/>
      <w:r w:rsidRPr="006E689B">
        <w:rPr>
          <w:rFonts w:ascii="Times New Roman" w:eastAsia="Times New Roman" w:hAnsi="Times New Roman" w:cs="Times New Roman"/>
          <w:b/>
          <w:bCs/>
          <w:color w:val="E22B21"/>
          <w:sz w:val="24"/>
          <w:szCs w:val="24"/>
          <w:lang w:eastAsia="hr-HR"/>
        </w:rPr>
        <w:t>Kontakt</w:t>
      </w:r>
      <w:bookmarkEnd w:id="1"/>
    </w:p>
    <w:p w:rsidR="00BB47AC" w:rsidRPr="006E689B" w:rsidRDefault="00BB47AC" w:rsidP="00EB31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Marie</w:t>
      </w:r>
      <w:proofErr w:type="spellEnd"/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Denninghaus</w:t>
      </w:r>
      <w:proofErr w:type="spellEnd"/>
      <w:r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| Koordinator za EDF politiku | </w:t>
      </w:r>
      <w:hyperlink r:id="rId10" w:history="1">
        <w:r w:rsidRPr="006E68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marie.denninghaus@edf-feph.org</w:t>
        </w:r>
      </w:hyperlink>
    </w:p>
    <w:p w:rsidR="00BB47AC" w:rsidRPr="006E689B" w:rsidRDefault="005A35F4" w:rsidP="00EB3165">
      <w:pPr>
        <w:spacing w:before="120" w:after="120" w:line="1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hyperlink r:id="rId11" w:history="1">
        <w:r w:rsidR="00BB47AC" w:rsidRPr="006E68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info@edf-feph.org</w:t>
        </w:r>
      </w:hyperlink>
      <w:r w:rsidR="00BB47AC" w:rsidRPr="006E68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- </w:t>
      </w:r>
      <w:hyperlink r:id="rId12" w:history="1">
        <w:r w:rsidR="00BB47AC" w:rsidRPr="006E68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www.edf-feph.org</w:t>
        </w:r>
      </w:hyperlink>
    </w:p>
    <w:p w:rsidR="00DC66D6" w:rsidRPr="006E689B" w:rsidRDefault="00DC66D6" w:rsidP="00EB31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66D6" w:rsidRPr="006E689B" w:rsidSect="00DC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DD1" w:rsidRDefault="00855DD1" w:rsidP="00855DD1">
      <w:pPr>
        <w:spacing w:after="0" w:line="240" w:lineRule="auto"/>
      </w:pPr>
      <w:r>
        <w:separator/>
      </w:r>
    </w:p>
  </w:endnote>
  <w:endnote w:type="continuationSeparator" w:id="1">
    <w:p w:rsidR="00855DD1" w:rsidRDefault="00855DD1" w:rsidP="0085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DD1" w:rsidRDefault="00855DD1" w:rsidP="00855DD1">
      <w:pPr>
        <w:spacing w:after="0" w:line="240" w:lineRule="auto"/>
      </w:pPr>
      <w:r>
        <w:separator/>
      </w:r>
    </w:p>
  </w:footnote>
  <w:footnote w:type="continuationSeparator" w:id="1">
    <w:p w:rsidR="00855DD1" w:rsidRDefault="00855DD1" w:rsidP="00855DD1">
      <w:pPr>
        <w:spacing w:after="0" w:line="240" w:lineRule="auto"/>
      </w:pPr>
      <w:r>
        <w:continuationSeparator/>
      </w:r>
    </w:p>
  </w:footnote>
  <w:footnote w:id="2">
    <w:p w:rsidR="00855DD1" w:rsidRPr="006E689B" w:rsidRDefault="00855DD1">
      <w:pPr>
        <w:pStyle w:val="Tekstfusnote"/>
        <w:rPr>
          <w:rFonts w:ascii="Times New Roman" w:hAnsi="Times New Roman" w:cs="Times New Roman"/>
        </w:rPr>
      </w:pPr>
      <w:r>
        <w:rPr>
          <w:rStyle w:val="Referencafusnote"/>
        </w:rPr>
        <w:footnoteRef/>
      </w:r>
      <w:r>
        <w:t xml:space="preserve"> </w:t>
      </w:r>
      <w:r w:rsidRPr="006E689B">
        <w:rPr>
          <w:rFonts w:ascii="Times New Roman" w:hAnsi="Times New Roman" w:cs="Times New Roman"/>
        </w:rPr>
        <w:t>„</w:t>
      </w:r>
      <w:proofErr w:type="spellStart"/>
      <w:r w:rsidRPr="006E689B">
        <w:rPr>
          <w:rFonts w:ascii="Times New Roman" w:hAnsi="Times New Roman" w:cs="Times New Roman"/>
        </w:rPr>
        <w:t>Barrierefreies</w:t>
      </w:r>
      <w:proofErr w:type="spellEnd"/>
      <w:r w:rsidRPr="006E689B">
        <w:rPr>
          <w:rFonts w:ascii="Times New Roman" w:hAnsi="Times New Roman" w:cs="Times New Roman"/>
        </w:rPr>
        <w:t xml:space="preserve"> </w:t>
      </w:r>
      <w:proofErr w:type="spellStart"/>
      <w:r w:rsidRPr="006E689B">
        <w:rPr>
          <w:rFonts w:ascii="Times New Roman" w:hAnsi="Times New Roman" w:cs="Times New Roman"/>
        </w:rPr>
        <w:t>Bauen</w:t>
      </w:r>
      <w:proofErr w:type="spellEnd"/>
      <w:r w:rsidRPr="006E689B">
        <w:rPr>
          <w:rFonts w:ascii="Times New Roman" w:hAnsi="Times New Roman" w:cs="Times New Roman"/>
        </w:rPr>
        <w:t xml:space="preserve"> im </w:t>
      </w:r>
      <w:proofErr w:type="spellStart"/>
      <w:r w:rsidRPr="006E689B">
        <w:rPr>
          <w:rFonts w:ascii="Times New Roman" w:hAnsi="Times New Roman" w:cs="Times New Roman"/>
        </w:rPr>
        <w:t>Kostenvergleich</w:t>
      </w:r>
      <w:proofErr w:type="spellEnd"/>
      <w:r w:rsidRPr="006E689B">
        <w:rPr>
          <w:rFonts w:ascii="Times New Roman" w:hAnsi="Times New Roman" w:cs="Times New Roman"/>
        </w:rPr>
        <w:t xml:space="preserve">“, </w:t>
      </w:r>
      <w:proofErr w:type="spellStart"/>
      <w:r w:rsidRPr="006E689B">
        <w:rPr>
          <w:rFonts w:ascii="Times New Roman" w:hAnsi="Times New Roman" w:cs="Times New Roman"/>
        </w:rPr>
        <w:t>Terragon</w:t>
      </w:r>
      <w:proofErr w:type="spellEnd"/>
      <w:r w:rsidRPr="006E689B">
        <w:rPr>
          <w:rFonts w:ascii="Times New Roman" w:hAnsi="Times New Roman" w:cs="Times New Roman"/>
        </w:rPr>
        <w:t xml:space="preserve"> </w:t>
      </w:r>
      <w:proofErr w:type="spellStart"/>
      <w:r w:rsidRPr="006E689B">
        <w:rPr>
          <w:rFonts w:ascii="Times New Roman" w:hAnsi="Times New Roman" w:cs="Times New Roman"/>
        </w:rPr>
        <w:t>Wohnbau</w:t>
      </w:r>
      <w:proofErr w:type="spellEnd"/>
      <w:r w:rsidRPr="006E689B">
        <w:rPr>
          <w:rFonts w:ascii="Times New Roman" w:hAnsi="Times New Roman" w:cs="Times New Roman"/>
        </w:rPr>
        <w:t xml:space="preserve"> i njemačka mreža općina i gradova (</w:t>
      </w:r>
      <w:proofErr w:type="spellStart"/>
      <w:r w:rsidRPr="006E689B">
        <w:rPr>
          <w:rFonts w:ascii="Times New Roman" w:hAnsi="Times New Roman" w:cs="Times New Roman"/>
        </w:rPr>
        <w:t>Deutscher</w:t>
      </w:r>
      <w:proofErr w:type="spellEnd"/>
      <w:r w:rsidRPr="006E689B">
        <w:rPr>
          <w:rFonts w:ascii="Times New Roman" w:hAnsi="Times New Roman" w:cs="Times New Roman"/>
        </w:rPr>
        <w:t xml:space="preserve"> </w:t>
      </w:r>
      <w:proofErr w:type="spellStart"/>
      <w:r w:rsidRPr="006E689B">
        <w:rPr>
          <w:rFonts w:ascii="Times New Roman" w:hAnsi="Times New Roman" w:cs="Times New Roman"/>
        </w:rPr>
        <w:t>Städte</w:t>
      </w:r>
      <w:proofErr w:type="spellEnd"/>
      <w:r w:rsidRPr="006E689B">
        <w:rPr>
          <w:rFonts w:ascii="Times New Roman" w:hAnsi="Times New Roman" w:cs="Times New Roman"/>
        </w:rPr>
        <w:t xml:space="preserve"> </w:t>
      </w:r>
      <w:proofErr w:type="spellStart"/>
      <w:r w:rsidRPr="006E689B">
        <w:rPr>
          <w:rFonts w:ascii="Times New Roman" w:hAnsi="Times New Roman" w:cs="Times New Roman"/>
        </w:rPr>
        <w:t>und</w:t>
      </w:r>
      <w:proofErr w:type="spellEnd"/>
      <w:r w:rsidRPr="006E689B">
        <w:rPr>
          <w:rFonts w:ascii="Times New Roman" w:hAnsi="Times New Roman" w:cs="Times New Roman"/>
        </w:rPr>
        <w:t xml:space="preserve"> </w:t>
      </w:r>
      <w:proofErr w:type="spellStart"/>
      <w:r w:rsidRPr="006E689B">
        <w:rPr>
          <w:rFonts w:ascii="Times New Roman" w:hAnsi="Times New Roman" w:cs="Times New Roman"/>
        </w:rPr>
        <w:t>Gemeindebund</w:t>
      </w:r>
      <w:proofErr w:type="spellEnd"/>
      <w:r w:rsidRPr="006E689B">
        <w:rPr>
          <w:rFonts w:ascii="Times New Roman" w:hAnsi="Times New Roman" w:cs="Times New Roman"/>
        </w:rPr>
        <w:t>), 2017.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57F"/>
    <w:multiLevelType w:val="multilevel"/>
    <w:tmpl w:val="F342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1431EE"/>
    <w:multiLevelType w:val="multilevel"/>
    <w:tmpl w:val="5090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5444B8"/>
    <w:multiLevelType w:val="multilevel"/>
    <w:tmpl w:val="11C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0813D8"/>
    <w:multiLevelType w:val="multilevel"/>
    <w:tmpl w:val="E26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AA11A8"/>
    <w:multiLevelType w:val="multilevel"/>
    <w:tmpl w:val="FEE4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C654F9"/>
    <w:multiLevelType w:val="multilevel"/>
    <w:tmpl w:val="3CA4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DB421A"/>
    <w:multiLevelType w:val="multilevel"/>
    <w:tmpl w:val="616018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6C3653"/>
    <w:multiLevelType w:val="multilevel"/>
    <w:tmpl w:val="B33CA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0B2B39"/>
    <w:multiLevelType w:val="multilevel"/>
    <w:tmpl w:val="C518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D9757C"/>
    <w:multiLevelType w:val="multilevel"/>
    <w:tmpl w:val="D0EC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A835C5"/>
    <w:multiLevelType w:val="multilevel"/>
    <w:tmpl w:val="EFB220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00F4F"/>
    <w:multiLevelType w:val="multilevel"/>
    <w:tmpl w:val="037C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8D2E5C"/>
    <w:multiLevelType w:val="multilevel"/>
    <w:tmpl w:val="70F85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21FAF"/>
    <w:multiLevelType w:val="multilevel"/>
    <w:tmpl w:val="8140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B2333E"/>
    <w:multiLevelType w:val="multilevel"/>
    <w:tmpl w:val="42CE2F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564713"/>
    <w:multiLevelType w:val="multilevel"/>
    <w:tmpl w:val="A8F2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FF39F8"/>
    <w:multiLevelType w:val="multilevel"/>
    <w:tmpl w:val="11EA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C50CBF"/>
    <w:multiLevelType w:val="multilevel"/>
    <w:tmpl w:val="4750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6"/>
  </w:num>
  <w:num w:numId="5">
    <w:abstractNumId w:val="14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3"/>
  </w:num>
  <w:num w:numId="13">
    <w:abstractNumId w:val="17"/>
  </w:num>
  <w:num w:numId="14">
    <w:abstractNumId w:val="9"/>
  </w:num>
  <w:num w:numId="15">
    <w:abstractNumId w:val="13"/>
  </w:num>
  <w:num w:numId="16">
    <w:abstractNumId w:val="0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7AC"/>
    <w:rsid w:val="000B7144"/>
    <w:rsid w:val="001855AB"/>
    <w:rsid w:val="001B2A33"/>
    <w:rsid w:val="002C0287"/>
    <w:rsid w:val="00304462"/>
    <w:rsid w:val="00354EB3"/>
    <w:rsid w:val="003A320D"/>
    <w:rsid w:val="00410C21"/>
    <w:rsid w:val="005349DB"/>
    <w:rsid w:val="005A35F4"/>
    <w:rsid w:val="005C621D"/>
    <w:rsid w:val="0061344E"/>
    <w:rsid w:val="0065220A"/>
    <w:rsid w:val="006B0D24"/>
    <w:rsid w:val="006E689B"/>
    <w:rsid w:val="00710DD7"/>
    <w:rsid w:val="00750B71"/>
    <w:rsid w:val="0078522F"/>
    <w:rsid w:val="008138A8"/>
    <w:rsid w:val="00851A3C"/>
    <w:rsid w:val="00855DD1"/>
    <w:rsid w:val="00890C4C"/>
    <w:rsid w:val="008A0346"/>
    <w:rsid w:val="008A7089"/>
    <w:rsid w:val="009F6F72"/>
    <w:rsid w:val="00AF34C8"/>
    <w:rsid w:val="00BB47AC"/>
    <w:rsid w:val="00BC0CDE"/>
    <w:rsid w:val="00BF20E7"/>
    <w:rsid w:val="00C02C8D"/>
    <w:rsid w:val="00CD60B2"/>
    <w:rsid w:val="00D66FCD"/>
    <w:rsid w:val="00DA4200"/>
    <w:rsid w:val="00DC636C"/>
    <w:rsid w:val="00DC66D6"/>
    <w:rsid w:val="00EB3165"/>
    <w:rsid w:val="00ED262D"/>
    <w:rsid w:val="00EE26DE"/>
    <w:rsid w:val="00F21AD6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6D6"/>
  </w:style>
  <w:style w:type="paragraph" w:styleId="Naslov1">
    <w:name w:val="heading 1"/>
    <w:basedOn w:val="Normal"/>
    <w:link w:val="Naslov1Char"/>
    <w:uiPriority w:val="9"/>
    <w:qFormat/>
    <w:rsid w:val="00BB4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BB4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B47A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B47A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B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B47A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38A8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55D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55DD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55D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nslate.google.com/translate?hl=hr&amp;prev=_t&amp;sl=en&amp;tl=hr&amp;u=http://www.edf-fep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df-feph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e.denninghaus@edf-fep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late.google.com/translate?hl=hr&amp;prev=_t&amp;sl=en&amp;tl=hr&amp;u=https://www.brusselstimes.com/all-news/belgium-all-news/118299/147-buildings-tested-for-accessibility-in-flanders-all-fai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C88B-B32F-4604-AA9F-5BC8FBE7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SOIH</dc:creator>
  <cp:lastModifiedBy>SOIH</cp:lastModifiedBy>
  <cp:revision>2</cp:revision>
  <dcterms:created xsi:type="dcterms:W3CDTF">2021-03-24T07:37:00Z</dcterms:created>
  <dcterms:modified xsi:type="dcterms:W3CDTF">2021-03-24T07:37:00Z</dcterms:modified>
</cp:coreProperties>
</file>